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附件一：采购需求</w:t>
      </w:r>
    </w:p>
    <w:p>
      <w:pPr>
        <w:pStyle w:val="3"/>
        <w:jc w:val="center"/>
        <w:rPr>
          <w:rFonts w:hint="eastAsia"/>
        </w:rPr>
      </w:pPr>
      <w:r>
        <w:rPr>
          <w:rFonts w:hint="eastAsia"/>
        </w:rPr>
        <w:t>开平市人民法院</w:t>
      </w:r>
      <w:r>
        <w:rPr>
          <w:rFonts w:hint="eastAsia"/>
          <w:lang w:val="en-US" w:eastAsia="zh-CN"/>
        </w:rPr>
        <w:t>固定资产盘点</w:t>
      </w:r>
      <w:r>
        <w:rPr>
          <w:rFonts w:hint="eastAsia"/>
        </w:rPr>
        <w:t>服务</w:t>
      </w:r>
    </w:p>
    <w:p>
      <w:pPr>
        <w:pStyle w:val="3"/>
        <w:jc w:val="center"/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</w:rPr>
        <w:t>采购项目需求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一、项目名称：开平市人民法院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固定资产盘点</w:t>
      </w:r>
      <w:r>
        <w:rPr>
          <w:rFonts w:hint="eastAsia" w:ascii="仿宋_GB2312" w:hAnsi="仿宋_GB2312" w:eastAsia="仿宋_GB2312" w:cs="仿宋_GB2312"/>
          <w:sz w:val="28"/>
          <w:szCs w:val="28"/>
        </w:rPr>
        <w:t>服务。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项目地点：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法院办公大楼、新审判大楼、旧审判大楼</w:t>
      </w:r>
      <w:r>
        <w:rPr>
          <w:rFonts w:hint="eastAsia" w:ascii="仿宋_GB2312" w:hAnsi="仿宋_GB2312" w:cs="仿宋_GB2312"/>
          <w:sz w:val="28"/>
          <w:szCs w:val="28"/>
          <w:highlight w:val="none"/>
          <w:lang w:val="en-US" w:eastAsia="zh-CN"/>
        </w:rPr>
        <w:t>、开平市看守所审判庭、立园巡回审判点、赤坎古镇调解室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及五个基层法庭即：水口法庭、苍城法庭、马冈法庭、赤坎法庭和赤水法庭。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三、项目服务范围：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开平市人民法院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固定资产盘点</w:t>
      </w:r>
      <w:r>
        <w:rPr>
          <w:rFonts w:hint="eastAsia" w:ascii="仿宋_GB2312" w:hAnsi="仿宋_GB2312" w:eastAsia="仿宋_GB2312" w:cs="仿宋_GB2312"/>
          <w:sz w:val="28"/>
          <w:szCs w:val="28"/>
        </w:rPr>
        <w:t>服务。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、服务范围及内容如下：</w:t>
      </w:r>
    </w:p>
    <w:p>
      <w:pPr>
        <w:spacing w:line="360" w:lineRule="auto"/>
        <w:ind w:left="619" w:leftChars="221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1、数据整理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盘点前，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中标供应商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我院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资产账进行检查分析，剔除掉已报废的资产数据，查看资产信息是否齐全，有无批量录入的模糊资产、工程、费用等信息，进行分类归纳。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中标供应商安排专人查找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会计凭证、购货合同清单及采购项目库明细资产等信息，对资产账中批量录入或部分信息欠缺的资产数据进行补充，主要补充信息为：资产品牌、规格型号；通过查找会计凭证，对批量录入的模糊资产按照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查找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的信息在资产管理系统进行明细的拆分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。</w:t>
      </w:r>
    </w:p>
    <w:p>
      <w:pPr>
        <w:spacing w:line="360" w:lineRule="auto"/>
        <w:ind w:left="619" w:leftChars="221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驻场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盘点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中标供应商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安排资产盘点小组到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我院各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部门办公室进行实物盘点，如实记录现场盘点信息，登记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规范所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需要补充完善的资产数据，如所属单位、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所属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部门、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资产名称、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规格型号、存放地点、使用人等空缺或变更的信息。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注：盘点范围只限于“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开平市人民法院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”此账号在行政事业资产管理系统账下所有固定资产，其中，房屋、土地、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车辆、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低值易耗品、软件、图书和陈列品不在本次的盘点服务范围内。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资产存放规模：法院新大楼诉讼服务中心、审判法庭4层、旧审判法庭3层、综合办公楼5层、水口法庭、苍城法庭、马冈法庭、赤坎法庭、赤水法庭</w:t>
      </w:r>
      <w:r>
        <w:rPr>
          <w:rFonts w:hint="eastAsia" w:ascii="仿宋_GB2312" w:hAnsi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、开平市看守所审判庭、</w:t>
      </w:r>
      <w:r>
        <w:rPr>
          <w:rFonts w:hint="eastAsia" w:ascii="仿宋_GB2312" w:hAnsi="仿宋_GB2312" w:cs="仿宋_GB2312"/>
          <w:sz w:val="28"/>
          <w:szCs w:val="28"/>
          <w:highlight w:val="none"/>
          <w:lang w:val="en-US" w:eastAsia="zh-CN"/>
        </w:rPr>
        <w:t>立园巡回审判点、赤坎古镇调解室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  <w:lang w:val="en-US" w:eastAsia="zh-CN"/>
        </w:rPr>
        <w:t>。</w:t>
      </w:r>
    </w:p>
    <w:p>
      <w:pPr>
        <w:spacing w:line="360" w:lineRule="auto"/>
        <w:ind w:left="53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、信息汇总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由于现场盘点是采用纸质版盘点表格进行登记，现场盘点结束后，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中标供应商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安排专人将纸质材料整理录入形成电子材料，整理规范所属单位、所属部门、资产名称、规格型号、存放地点等信息，便于后续盘点结果核对分析工作。</w:t>
      </w:r>
    </w:p>
    <w:p>
      <w:pPr>
        <w:spacing w:line="360" w:lineRule="auto"/>
        <w:ind w:left="53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4、盘点结果分析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4.1首次盘点结果分析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通过现场盘点所收集到的信息，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中标供应商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将实物盘点数据与资产账进行分析比对，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将根据资产名称、规格型号、购入日期等字段信息进行第一轮精确匹配的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提供能够反映首次盘点实盘、盘盈、盘亏三类资产盘点结果（初步数据）给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我院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4.2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二次核实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对于首次盘点结果中，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中标供应商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对盘盈、盘亏资产进行再次分析对比，必要时结合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我院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决策和意见对于部分盘盈、盘亏资产进行冲减调整，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中标供应商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提供相关的处理意见，由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我院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确认后进行调整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同时也建立了一套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新的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固定资产明细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账。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中标供应商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根据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我院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资产清查实物情况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本次资产盘点工作数据分析如实呈现实盘、盘盈、盘亏资产数据，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我院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确认后并自行开展本次清查的盘盈盘亏资产相关处理流程和资料，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中标供应商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概不负责。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资产系统数据更新</w:t>
      </w:r>
    </w:p>
    <w:p>
      <w:pPr>
        <w:spacing w:line="360" w:lineRule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中标供应商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根据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我院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确认的数据，在行政事业资产系统上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对实盘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资产相关字段信息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进行更新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，如：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资产名称、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使用部门、存放地点、使用人、规格型号等。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、条码标签打印</w:t>
      </w:r>
    </w:p>
    <w:p>
      <w:pPr>
        <w:spacing w:line="360" w:lineRule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中标供应商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通过行政事业资产系统条码标签打印功能，根据资产系统已更新的数据，把已确认的资产打印条形码标签，形成具有唯一标识的卡片编号，打印出标签并根据所属部门、存放地点整理归类。</w:t>
      </w:r>
    </w:p>
    <w:p>
      <w:pPr>
        <w:spacing w:line="360" w:lineRule="auto"/>
        <w:ind w:left="560" w:left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、标签粘贴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中标供应商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成立条码标签粘贴工作小组，根据已经打印的条码标签进行划分，再对实物资产进行条形码粘贴，防止前清后乱。如已粘贴的条形码遭到人为损坏，原则上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中标供应商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不负责重新粘贴。</w:t>
      </w:r>
    </w:p>
    <w:p>
      <w:pPr>
        <w:spacing w:line="360" w:lineRule="auto"/>
        <w:ind w:left="560" w:left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、条码粘贴确认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我院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根据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中标供应商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工作人员的条码标签粘贴工作进行确认，最终实现固定资产账账相符、账实相符的管理目标。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、自查报告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我院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根据项目需求和资产情况，必要时出据资产自查报告，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中标供应商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工作人员可协助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我院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经办人完成本次资产盘点自查报告工作。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六、项目预算价:壹拾贰万元整。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七、项目需求期限：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完成资产盘点工作时间为4个月，自中标供应商进场后算起，进场时间由双方友好协商而定。其中我院发通知以及数据确认等时间均不包含在内。如我院在数据确认或未按规定时间提交相应的资料、数据等给中标供应商开展后续工作并造成项目工期增加的，本项目工作完成时间自动延后相应的时间完成，具体延后时间由双方友好协商而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MDc1NTJjMThmZTRhM2JkNTZjNjhhMTQyZmZiZjEifQ=="/>
  </w:docVars>
  <w:rsids>
    <w:rsidRoot w:val="779438EF"/>
    <w:rsid w:val="0390639D"/>
    <w:rsid w:val="7794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1040" w:firstLineChars="200"/>
      <w:jc w:val="both"/>
    </w:pPr>
    <w:rPr>
      <w:rFonts w:ascii="Times New Roman" w:hAnsi="Times New Roman" w:eastAsia="仿宋_GB2312" w:cs="Times New Roman"/>
      <w:kern w:val="2"/>
      <w:sz w:val="28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autoSpaceDE w:val="0"/>
      <w:autoSpaceDN w:val="0"/>
      <w:adjustRightInd w:val="0"/>
      <w:spacing w:before="100" w:beforeLines="100" w:after="100" w:afterLines="100"/>
      <w:ind w:left="0" w:firstLine="0" w:firstLineChars="0"/>
      <w:jc w:val="left"/>
      <w:outlineLvl w:val="0"/>
    </w:pPr>
    <w:rPr>
      <w:b/>
      <w:bCs/>
      <w:kern w:val="0"/>
      <w:sz w:val="32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qFormat/>
    <w:uiPriority w:val="0"/>
    <w:pPr>
      <w:ind w:firstLine="420" w:firstLineChars="200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1600</Words>
  <Characters>1606</Characters>
  <Lines>0</Lines>
  <Paragraphs>0</Paragraphs>
  <TotalTime>0</TotalTime>
  <ScaleCrop>false</ScaleCrop>
  <LinksUpToDate>false</LinksUpToDate>
  <CharactersWithSpaces>1613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2024-02-21T08:32:00Z</dcterms:created>
  <dc:creator>NTKO</dc:creator>
  <cp:lastModifiedBy>NTKO</cp:lastModifiedBy>
  <dcterms:modified xsi:type="dcterms:W3CDTF">2024-02-21T08:50:07Z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A241574F70894E0E8E34DC7DA05BF634</vt:lpwstr>
  </property>
</Properties>
</file>